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14" w:rsidRDefault="00951AC5">
      <w:pPr>
        <w:pStyle w:val="Kop1"/>
        <w:jc w:val="center"/>
      </w:pPr>
      <w:r>
        <w:rPr>
          <w:rFonts w:ascii="Georgia" w:hAnsi="Georgia"/>
          <w:sz w:val="36"/>
          <w:szCs w:val="36"/>
        </w:rPr>
        <w:t>Financieel verslag Arcana 2017</w:t>
      </w:r>
    </w:p>
    <w:p w:rsidR="00D43514" w:rsidRDefault="00951AC5">
      <w:r>
        <w:rPr>
          <w:rFonts w:ascii="Georgia" w:hAnsi="Georgia"/>
          <w:b/>
          <w:bCs/>
          <w:sz w:val="28"/>
          <w:szCs w:val="28"/>
        </w:rPr>
        <w:br/>
        <w:t>Verantwoording</w:t>
      </w:r>
    </w:p>
    <w:p w:rsidR="00D43514" w:rsidRDefault="00951AC5">
      <w:r>
        <w:rPr>
          <w:rFonts w:ascii="Georgia" w:hAnsi="Georgia"/>
        </w:rPr>
        <w:br/>
        <w:t xml:space="preserve">Wederom hebben we ervoor gekozen om twee versies te maken van het financieel verslag: een </w:t>
      </w:r>
      <w:r>
        <w:rPr>
          <w:rFonts w:ascii="Georgia" w:hAnsi="Georgia"/>
          <w:color w:val="000000"/>
        </w:rPr>
        <w:t>gedetailleerde</w:t>
      </w:r>
      <w:r>
        <w:rPr>
          <w:rFonts w:ascii="Georgia" w:hAnsi="Georgia"/>
        </w:rPr>
        <w:t xml:space="preserve"> versie en deze verkorte versie.</w:t>
      </w:r>
    </w:p>
    <w:p w:rsidR="00D43514" w:rsidRDefault="00951AC5">
      <w:r>
        <w:rPr>
          <w:rFonts w:ascii="Georgia" w:hAnsi="Georgia"/>
          <w:color w:val="000000"/>
        </w:rPr>
        <w:t>In dit verslag maken we in 3 pagina’s duidelijk wat er op financieel gebied gebeurde met de vereniging in 2017, en de onderbouwing daarvoor.</w:t>
      </w:r>
    </w:p>
    <w:p w:rsidR="00D43514" w:rsidRDefault="00951AC5">
      <w:r>
        <w:rPr>
          <w:rFonts w:ascii="Georgia" w:hAnsi="Georgia"/>
          <w:b/>
          <w:bCs/>
          <w:sz w:val="28"/>
          <w:szCs w:val="28"/>
        </w:rPr>
        <w:br/>
        <w:t>2017 in woorden</w:t>
      </w:r>
    </w:p>
    <w:p w:rsidR="00D43514" w:rsidRDefault="00951AC5">
      <w:r>
        <w:rPr>
          <w:rFonts w:ascii="Georgia" w:hAnsi="Georgia"/>
        </w:rPr>
        <w:t>Er zijn een aantal belangrijke zaken gebeurd. Een opsomming, in 2017:</w:t>
      </w:r>
    </w:p>
    <w:p w:rsidR="00D43514" w:rsidRDefault="00951AC5">
      <w:r>
        <w:rPr>
          <w:rFonts w:ascii="Georgia" w:hAnsi="Georgia"/>
        </w:rPr>
        <w:t xml:space="preserve">- organiseerde </w:t>
      </w:r>
      <w:proofErr w:type="spellStart"/>
      <w:r w:rsidR="00B41792">
        <w:rPr>
          <w:rFonts w:ascii="Georgia" w:hAnsi="Georgia"/>
        </w:rPr>
        <w:t>Belvedere</w:t>
      </w:r>
      <w:proofErr w:type="spellEnd"/>
      <w:r w:rsidR="00B41792">
        <w:rPr>
          <w:rFonts w:ascii="Georgia" w:hAnsi="Georgia"/>
        </w:rPr>
        <w:t xml:space="preserve"> </w:t>
      </w:r>
      <w:r>
        <w:rPr>
          <w:rFonts w:ascii="Georgia" w:hAnsi="Georgia"/>
        </w:rPr>
        <w:t>h</w:t>
      </w:r>
      <w:r w:rsidR="00B41792">
        <w:rPr>
          <w:rFonts w:ascii="Georgia" w:hAnsi="Georgia"/>
        </w:rPr>
        <w:t>aar</w:t>
      </w:r>
      <w:r>
        <w:rPr>
          <w:rFonts w:ascii="Georgia" w:hAnsi="Georgia"/>
        </w:rPr>
        <w:t xml:space="preserve"> tweede evenement en opende de inschrijvingen voor </w:t>
      </w:r>
      <w:r w:rsidR="00B41792">
        <w:rPr>
          <w:rFonts w:ascii="Georgia" w:hAnsi="Georgia"/>
        </w:rPr>
        <w:t xml:space="preserve">haar </w:t>
      </w:r>
      <w:r>
        <w:rPr>
          <w:rFonts w:ascii="Georgia" w:hAnsi="Georgia"/>
        </w:rPr>
        <w:t>derde evenement. Deze opening van inschrijvingen zorgt voor een hogere tota</w:t>
      </w:r>
      <w:r w:rsidR="00B41792">
        <w:rPr>
          <w:rFonts w:ascii="Georgia" w:hAnsi="Georgia"/>
        </w:rPr>
        <w:t>a</w:t>
      </w:r>
      <w:r>
        <w:rPr>
          <w:rFonts w:ascii="Georgia" w:hAnsi="Georgia"/>
        </w:rPr>
        <w:t>l balans van de vereniging. De uitgaven die er tegenover staan zullen natuurlijk vooral in 2018 gebeuren.</w:t>
      </w:r>
    </w:p>
    <w:p w:rsidR="00D43514" w:rsidRDefault="00951AC5">
      <w:r>
        <w:rPr>
          <w:rFonts w:ascii="Georgia" w:hAnsi="Georgia"/>
        </w:rPr>
        <w:t xml:space="preserve">– werden er een aantal kleinere evenementen georganiseerd. Omdat er nu meer </w:t>
      </w:r>
      <w:r w:rsidR="00B41792">
        <w:rPr>
          <w:rFonts w:ascii="Georgia" w:hAnsi="Georgia"/>
        </w:rPr>
        <w:t>continuïteit</w:t>
      </w:r>
      <w:r>
        <w:rPr>
          <w:rFonts w:ascii="Georgia" w:hAnsi="Georgia"/>
        </w:rPr>
        <w:t xml:space="preserve"> in deze kleinere evenementen lijkt te zitten, kozen wij ervoor een reserve rekening hiervoor te openen.</w:t>
      </w:r>
    </w:p>
    <w:p w:rsidR="00D43514" w:rsidRDefault="00951AC5">
      <w:r>
        <w:rPr>
          <w:rFonts w:ascii="Georgia" w:hAnsi="Georgia"/>
        </w:rPr>
        <w:t>- heeft de vereniging € 1.464,00 ontvangen aan lidmaatschapsgelden</w:t>
      </w:r>
      <w:r w:rsidR="00B41792">
        <w:rPr>
          <w:rFonts w:ascii="Georgia" w:hAnsi="Georgia"/>
        </w:rPr>
        <w:t>.</w:t>
      </w:r>
    </w:p>
    <w:p w:rsidR="00D43514" w:rsidRDefault="00951AC5">
      <w:r>
        <w:rPr>
          <w:rFonts w:ascii="Georgia" w:hAnsi="Georgia"/>
        </w:rPr>
        <w:t>- heeft de vereniging € 20,15 ontvangen aan rente</w:t>
      </w:r>
      <w:r w:rsidR="00B41792">
        <w:rPr>
          <w:rFonts w:ascii="Georgia" w:hAnsi="Georgia"/>
        </w:rPr>
        <w:t>.</w:t>
      </w:r>
    </w:p>
    <w:p w:rsidR="00D43514" w:rsidRDefault="00951AC5">
      <w:r>
        <w:rPr>
          <w:rFonts w:ascii="Georgia" w:hAnsi="Georgia"/>
        </w:rPr>
        <w:t xml:space="preserve">- heeft de vereniging geïnvesteerd in de berging, met name verlichting, elektra, </w:t>
      </w:r>
      <w:r w:rsidR="00B41792">
        <w:rPr>
          <w:rFonts w:ascii="Georgia" w:hAnsi="Georgia"/>
        </w:rPr>
        <w:t xml:space="preserve">een </w:t>
      </w:r>
      <w:r>
        <w:rPr>
          <w:rFonts w:ascii="Georgia" w:hAnsi="Georgia"/>
        </w:rPr>
        <w:t>camera en een wandrek</w:t>
      </w:r>
    </w:p>
    <w:p w:rsidR="00D43514" w:rsidRPr="00B41792" w:rsidRDefault="00951AC5">
      <w:r>
        <w:rPr>
          <w:rFonts w:ascii="Georgia" w:hAnsi="Georgia"/>
        </w:rPr>
        <w:t xml:space="preserve">- heeft de vereniging € </w:t>
      </w:r>
      <w:r w:rsidR="00910B6F">
        <w:rPr>
          <w:rFonts w:ascii="Georgia" w:hAnsi="Georgia"/>
        </w:rPr>
        <w:t>1</w:t>
      </w:r>
      <w:r w:rsidR="005F3409">
        <w:rPr>
          <w:rFonts w:ascii="Georgia" w:hAnsi="Georgia"/>
        </w:rPr>
        <w:t>385</w:t>
      </w:r>
      <w:r w:rsidR="00910B6F">
        <w:rPr>
          <w:rFonts w:ascii="Georgia" w:hAnsi="Georgia"/>
        </w:rPr>
        <w:t>,1</w:t>
      </w:r>
      <w:r w:rsidR="005F3409">
        <w:rPr>
          <w:rFonts w:ascii="Georgia" w:hAnsi="Georgia"/>
        </w:rPr>
        <w:t>0</w:t>
      </w:r>
      <w:r>
        <w:rPr>
          <w:rFonts w:ascii="Georgia" w:hAnsi="Georgia"/>
        </w:rPr>
        <w:t xml:space="preserve"> aan crediteuren, </w:t>
      </w:r>
      <w:r w:rsidR="00B41792">
        <w:rPr>
          <w:rFonts w:ascii="Georgia" w:hAnsi="Georgia"/>
        </w:rPr>
        <w:t xml:space="preserve">welke </w:t>
      </w:r>
      <w:r>
        <w:rPr>
          <w:rFonts w:ascii="Georgia" w:hAnsi="Georgia"/>
        </w:rPr>
        <w:t xml:space="preserve">hoofdzakelijk </w:t>
      </w:r>
      <w:r w:rsidR="00B41792">
        <w:rPr>
          <w:rFonts w:ascii="Georgia" w:hAnsi="Georgia"/>
        </w:rPr>
        <w:t xml:space="preserve">bestaan uit </w:t>
      </w:r>
      <w:r>
        <w:rPr>
          <w:rFonts w:ascii="Georgia" w:hAnsi="Georgia"/>
        </w:rPr>
        <w:t xml:space="preserve">de kosten van de locatie van de herberg </w:t>
      </w:r>
      <w:r w:rsidR="005F3409">
        <w:rPr>
          <w:rFonts w:ascii="Georgia" w:hAnsi="Georgia"/>
        </w:rPr>
        <w:t>5 (420 euro), de afronding van de betaling van de herberg 8 (374,49 euro)</w:t>
      </w:r>
      <w:r w:rsidR="00910B6F">
        <w:rPr>
          <w:rFonts w:ascii="Georgia" w:hAnsi="Georgia"/>
        </w:rPr>
        <w:t xml:space="preserve"> en afronding van de betalingen van evenementen als </w:t>
      </w:r>
      <w:proofErr w:type="spellStart"/>
      <w:r w:rsidR="00910B6F">
        <w:rPr>
          <w:rFonts w:ascii="Georgia" w:hAnsi="Georgia"/>
        </w:rPr>
        <w:t>elerion</w:t>
      </w:r>
      <w:proofErr w:type="spellEnd"/>
      <w:r w:rsidR="00910B6F">
        <w:rPr>
          <w:rFonts w:ascii="Georgia" w:hAnsi="Georgia"/>
        </w:rPr>
        <w:t xml:space="preserve"> en de bron.</w:t>
      </w:r>
    </w:p>
    <w:p w:rsidR="00D43514" w:rsidRDefault="00951AC5">
      <w:r>
        <w:rPr>
          <w:rFonts w:ascii="Georgia" w:hAnsi="Georgia"/>
          <w:color w:val="000000"/>
        </w:rPr>
        <w:t xml:space="preserve">- zijn de reserves van De Bron en </w:t>
      </w:r>
      <w:proofErr w:type="spellStart"/>
      <w:r>
        <w:rPr>
          <w:rFonts w:ascii="Georgia" w:hAnsi="Georgia"/>
          <w:color w:val="000000"/>
        </w:rPr>
        <w:t>Belvedere</w:t>
      </w:r>
      <w:proofErr w:type="spellEnd"/>
      <w:r>
        <w:rPr>
          <w:rFonts w:ascii="Georgia" w:hAnsi="Georgia"/>
          <w:color w:val="000000"/>
        </w:rPr>
        <w:t xml:space="preserve"> volgens plan afgenomen, en is de reserve van </w:t>
      </w:r>
      <w:proofErr w:type="spellStart"/>
      <w:r>
        <w:rPr>
          <w:rFonts w:ascii="Georgia" w:hAnsi="Georgia"/>
          <w:color w:val="000000"/>
        </w:rPr>
        <w:t>Elerion</w:t>
      </w:r>
      <w:proofErr w:type="spellEnd"/>
      <w:r>
        <w:rPr>
          <w:rFonts w:ascii="Georgia" w:hAnsi="Georgia"/>
          <w:color w:val="000000"/>
        </w:rPr>
        <w:t xml:space="preserve"> iets toegenomen, waar een afname gehoopt was, dit pakken we aan in 2018</w:t>
      </w:r>
      <w:r w:rsidR="00B41792">
        <w:rPr>
          <w:rFonts w:ascii="Georgia" w:hAnsi="Georgia"/>
          <w:color w:val="000000"/>
        </w:rPr>
        <w:t>.</w:t>
      </w:r>
    </w:p>
    <w:p w:rsidR="00D43514" w:rsidRDefault="00951AC5">
      <w:r>
        <w:rPr>
          <w:rFonts w:ascii="Georgia" w:hAnsi="Georgia"/>
          <w:color w:val="000000"/>
        </w:rPr>
        <w:t xml:space="preserve">– was de rente op de spaarrekening zo laag, dat het niet meer loont om daar geld </w:t>
      </w:r>
      <w:r w:rsidR="00B41792">
        <w:rPr>
          <w:rFonts w:ascii="Georgia" w:hAnsi="Georgia"/>
          <w:color w:val="000000"/>
        </w:rPr>
        <w:t>naar</w:t>
      </w:r>
      <w:r w:rsidR="006477E9">
        <w:rPr>
          <w:rFonts w:ascii="Georgia" w:hAnsi="Georgia"/>
          <w:color w:val="000000"/>
        </w:rPr>
        <w:t xml:space="preserve"> over </w:t>
      </w:r>
      <w:r>
        <w:rPr>
          <w:rFonts w:ascii="Georgia" w:hAnsi="Georgia"/>
          <w:color w:val="000000"/>
        </w:rPr>
        <w:t xml:space="preserve"> te boeken</w:t>
      </w:r>
      <w:r w:rsidR="006477E9">
        <w:rPr>
          <w:rFonts w:ascii="Georgia" w:hAnsi="Georgia"/>
          <w:color w:val="000000"/>
        </w:rPr>
        <w:t>.</w:t>
      </w:r>
    </w:p>
    <w:p w:rsidR="00D43514" w:rsidRDefault="00D43514">
      <w:pPr>
        <w:rPr>
          <w:rFonts w:ascii="Georgia" w:hAnsi="Georgia"/>
          <w:color w:val="000000"/>
        </w:rPr>
      </w:pPr>
    </w:p>
    <w:p w:rsidR="00D43514" w:rsidRDefault="00951AC5">
      <w:r>
        <w:rPr>
          <w:rFonts w:ascii="Georgia" w:hAnsi="Georgia"/>
          <w:b/>
          <w:bCs/>
          <w:sz w:val="28"/>
          <w:szCs w:val="28"/>
        </w:rPr>
        <w:br/>
        <w:t>De mensen</w:t>
      </w:r>
    </w:p>
    <w:p w:rsidR="00D43514" w:rsidRDefault="00951AC5">
      <w:r>
        <w:rPr>
          <w:rFonts w:ascii="Georgia" w:hAnsi="Georgia"/>
        </w:rPr>
        <w:t>Penningmeester: Moniek Pillen</w:t>
      </w:r>
    </w:p>
    <w:p w:rsidR="00D43514" w:rsidRDefault="00951AC5">
      <w:r>
        <w:rPr>
          <w:rFonts w:ascii="Georgia" w:hAnsi="Georgia"/>
        </w:rPr>
        <w:t>Assistent penningmeester: Marcel Oerlemans</w:t>
      </w:r>
    </w:p>
    <w:p w:rsidR="00D43514" w:rsidRDefault="00951AC5">
      <w:r>
        <w:rPr>
          <w:rFonts w:ascii="Georgia" w:hAnsi="Georgia"/>
        </w:rPr>
        <w:t>Financiële commissie: Raymond Kales, Leon van Ee</w:t>
      </w:r>
    </w:p>
    <w:p w:rsidR="00D43514" w:rsidRDefault="00951AC5">
      <w:pPr>
        <w:pStyle w:val="Textbody"/>
      </w:pPr>
      <w:r>
        <w:rPr>
          <w:rFonts w:ascii="Georgia" w:hAnsi="Georgia"/>
          <w:b/>
          <w:bCs/>
        </w:rPr>
        <w:t>Vereniging</w:t>
      </w:r>
    </w:p>
    <w:p w:rsidR="00D43514" w:rsidRDefault="00951AC5">
      <w:r>
        <w:rPr>
          <w:rFonts w:ascii="Georgia" w:hAnsi="Georgia"/>
        </w:rPr>
        <w:lastRenderedPageBreak/>
        <w:t xml:space="preserve">De vereniging heeft reparaties en verbeteringen uitgevoerd aan de berging, uiteindelijk voor € 300,00 minder dan begroot. Het lidmaatschap van de leden is daarnaast gebruikt voor de gebruikelijke kosten voor verzekering, </w:t>
      </w:r>
      <w:proofErr w:type="spellStart"/>
      <w:r w:rsidR="00B41792">
        <w:rPr>
          <w:rFonts w:ascii="Georgia" w:hAnsi="Georgia"/>
        </w:rPr>
        <w:t>iDEAL</w:t>
      </w:r>
      <w:proofErr w:type="spellEnd"/>
      <w:r>
        <w:rPr>
          <w:rFonts w:ascii="Georgia" w:hAnsi="Georgia"/>
        </w:rPr>
        <w:t xml:space="preserve"> (en andere bankkosten, boekhoudpakket, opbouw lustrum potje </w:t>
      </w:r>
      <w:proofErr w:type="spellStart"/>
      <w:r>
        <w:rPr>
          <w:rFonts w:ascii="Georgia" w:hAnsi="Georgia"/>
        </w:rPr>
        <w:t>etc</w:t>
      </w:r>
      <w:proofErr w:type="spellEnd"/>
      <w:r w:rsidR="00B41792"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D43514" w:rsidRDefault="00B41792">
      <w:r>
        <w:rPr>
          <w:rFonts w:ascii="Georgia" w:hAnsi="Georgia"/>
        </w:rPr>
        <w:t>E</w:t>
      </w:r>
      <w:r w:rsidR="00951AC5">
        <w:rPr>
          <w:rFonts w:ascii="Georgia" w:hAnsi="Georgia"/>
        </w:rPr>
        <w:t xml:space="preserve">r </w:t>
      </w:r>
      <w:r>
        <w:rPr>
          <w:rFonts w:ascii="Georgia" w:hAnsi="Georgia"/>
        </w:rPr>
        <w:t xml:space="preserve">zijn </w:t>
      </w:r>
      <w:r w:rsidR="00951AC5">
        <w:rPr>
          <w:rFonts w:ascii="Georgia" w:hAnsi="Georgia"/>
        </w:rPr>
        <w:t xml:space="preserve">geen reparaties uitgevoerd aan spullen van de vereniging, terwijl daar wel geld voor was. </w:t>
      </w:r>
    </w:p>
    <w:p w:rsidR="00D43514" w:rsidRDefault="00951AC5">
      <w:r>
        <w:rPr>
          <w:rFonts w:ascii="Georgia" w:hAnsi="Georgia"/>
          <w:b/>
          <w:bCs/>
        </w:rPr>
        <w:br/>
      </w:r>
      <w:proofErr w:type="spellStart"/>
      <w:r>
        <w:rPr>
          <w:rFonts w:ascii="Georgia" w:hAnsi="Georgia"/>
          <w:b/>
          <w:bCs/>
        </w:rPr>
        <w:t>Elerion</w:t>
      </w:r>
      <w:proofErr w:type="spellEnd"/>
    </w:p>
    <w:p w:rsidR="00D43514" w:rsidRDefault="00951AC5">
      <w:proofErr w:type="spellStart"/>
      <w:r>
        <w:rPr>
          <w:rFonts w:ascii="Georgia" w:hAnsi="Georgia"/>
        </w:rPr>
        <w:t>Elerion</w:t>
      </w:r>
      <w:proofErr w:type="spellEnd"/>
      <w:r>
        <w:rPr>
          <w:rFonts w:ascii="Georgia" w:hAnsi="Georgia"/>
        </w:rPr>
        <w:t xml:space="preserve"> was van plan om naar een nieuwe, duurdere locatie te gaan</w:t>
      </w:r>
      <w:r w:rsidR="00B41792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="00B41792">
        <w:rPr>
          <w:rFonts w:ascii="Georgia" w:hAnsi="Georgia"/>
        </w:rPr>
        <w:t>M</w:t>
      </w:r>
      <w:r>
        <w:rPr>
          <w:rFonts w:ascii="Georgia" w:hAnsi="Georgia"/>
        </w:rPr>
        <w:t>aar door het uitblijven van het scouten van een nieuwe locatie</w:t>
      </w:r>
      <w:r w:rsidR="00B41792">
        <w:rPr>
          <w:rFonts w:ascii="Georgia" w:hAnsi="Georgia"/>
        </w:rPr>
        <w:t>, zij</w:t>
      </w:r>
      <w:r>
        <w:rPr>
          <w:rFonts w:ascii="Georgia" w:hAnsi="Georgia"/>
        </w:rPr>
        <w:t>n er oude locaties gebruikt</w:t>
      </w:r>
      <w:r w:rsidR="00B41792">
        <w:rPr>
          <w:rFonts w:ascii="Georgia" w:hAnsi="Georgia"/>
        </w:rPr>
        <w:t xml:space="preserve">. Hierdoor </w:t>
      </w:r>
      <w:r>
        <w:rPr>
          <w:rFonts w:ascii="Georgia" w:hAnsi="Georgia"/>
        </w:rPr>
        <w:t xml:space="preserve">waren de locatiekosten lager dan </w:t>
      </w:r>
      <w:r w:rsidR="00B41792">
        <w:rPr>
          <w:rFonts w:ascii="Georgia" w:hAnsi="Georgia"/>
        </w:rPr>
        <w:t>begroot</w:t>
      </w:r>
      <w:r>
        <w:rPr>
          <w:rFonts w:ascii="Georgia" w:hAnsi="Georgia"/>
        </w:rPr>
        <w:t>.</w:t>
      </w:r>
      <w:r w:rsidR="005F3409">
        <w:rPr>
          <w:rFonts w:ascii="Georgia" w:hAnsi="Georgia"/>
        </w:rPr>
        <w:t xml:space="preserve"> Daarnaast is er minder </w:t>
      </w:r>
      <w:proofErr w:type="spellStart"/>
      <w:r w:rsidR="005F3409">
        <w:rPr>
          <w:rFonts w:ascii="Georgia" w:hAnsi="Georgia"/>
        </w:rPr>
        <w:t>geinversteeds</w:t>
      </w:r>
      <w:proofErr w:type="spellEnd"/>
      <w:r w:rsidR="005F3409">
        <w:rPr>
          <w:rFonts w:ascii="Georgia" w:hAnsi="Georgia"/>
        </w:rPr>
        <w:t xml:space="preserve"> dit jaar in nieuwe monsterpakken… we houden het nog even spannend wat we daar aankomend jaar mee gaan doen, maar de</w:t>
      </w:r>
      <w:r>
        <w:rPr>
          <w:rFonts w:ascii="Georgia" w:hAnsi="Georgia"/>
        </w:rPr>
        <w:t xml:space="preserve"> verwachting is dat </w:t>
      </w:r>
      <w:proofErr w:type="spellStart"/>
      <w:r>
        <w:rPr>
          <w:rFonts w:ascii="Georgia" w:hAnsi="Georgia"/>
        </w:rPr>
        <w:t>Elerion</w:t>
      </w:r>
      <w:proofErr w:type="spellEnd"/>
      <w:r>
        <w:rPr>
          <w:rFonts w:ascii="Georgia" w:hAnsi="Georgia"/>
        </w:rPr>
        <w:t xml:space="preserve"> in 2018 beter gebruik gaat maken van haar reserve. </w:t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br/>
        <w:t>De Bron</w:t>
      </w:r>
    </w:p>
    <w:p w:rsidR="00D43514" w:rsidRDefault="00951AC5">
      <w:r>
        <w:rPr>
          <w:rFonts w:ascii="Georgia" w:hAnsi="Georgia"/>
        </w:rPr>
        <w:t>De reserve is gebruikt volgens plan. Goed gedaan Bron!</w:t>
      </w:r>
    </w:p>
    <w:p w:rsidR="00D43514" w:rsidRDefault="00951AC5">
      <w:r>
        <w:rPr>
          <w:rFonts w:ascii="Georgia" w:hAnsi="Georgia"/>
          <w:b/>
          <w:bCs/>
        </w:rPr>
        <w:br/>
        <w:t>Herberg</w:t>
      </w:r>
    </w:p>
    <w:p w:rsidR="00D43514" w:rsidRDefault="00951AC5">
      <w:r>
        <w:rPr>
          <w:rFonts w:ascii="Georgia" w:hAnsi="Georgia"/>
        </w:rPr>
        <w:t>De Herberg ging gestaag door met een mooi evenement. Goed bezig Herberg!</w:t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br/>
        <w:t xml:space="preserve">Short </w:t>
      </w:r>
      <w:proofErr w:type="spellStart"/>
      <w:r>
        <w:rPr>
          <w:rFonts w:ascii="Georgia" w:hAnsi="Georgia"/>
          <w:b/>
          <w:bCs/>
        </w:rPr>
        <w:t>Larp</w:t>
      </w:r>
      <w:proofErr w:type="spellEnd"/>
    </w:p>
    <w:p w:rsidR="00D43514" w:rsidRDefault="00951AC5">
      <w:r>
        <w:rPr>
          <w:rFonts w:ascii="Georgia" w:hAnsi="Georgia"/>
        </w:rPr>
        <w:t xml:space="preserve">Tijdens 2017 zijn twee </w:t>
      </w:r>
      <w:proofErr w:type="spellStart"/>
      <w:r>
        <w:rPr>
          <w:rFonts w:ascii="Georgia" w:hAnsi="Georgia"/>
        </w:rPr>
        <w:t>shortlarps</w:t>
      </w:r>
      <w:proofErr w:type="spellEnd"/>
      <w:r>
        <w:rPr>
          <w:rFonts w:ascii="Georgia" w:hAnsi="Georgia"/>
        </w:rPr>
        <w:t xml:space="preserve"> georganiseerd: </w:t>
      </w:r>
      <w:proofErr w:type="spellStart"/>
      <w:r>
        <w:rPr>
          <w:rFonts w:ascii="Georgia" w:hAnsi="Georgia"/>
        </w:rPr>
        <w:t>ActieReactie</w:t>
      </w:r>
      <w:proofErr w:type="spellEnd"/>
      <w:r>
        <w:rPr>
          <w:rFonts w:ascii="Georgia" w:hAnsi="Georgia"/>
        </w:rPr>
        <w:t xml:space="preserve"> en </w:t>
      </w:r>
      <w:proofErr w:type="spellStart"/>
      <w:r>
        <w:rPr>
          <w:rFonts w:ascii="Georgia" w:hAnsi="Georgia"/>
        </w:rPr>
        <w:t>Feria</w:t>
      </w:r>
      <w:proofErr w:type="spellEnd"/>
      <w:r>
        <w:rPr>
          <w:rFonts w:ascii="Georgia" w:hAnsi="Georgia"/>
        </w:rPr>
        <w:t>. Komend jaar zullen we daar mee verder gaan.</w:t>
      </w:r>
    </w:p>
    <w:p w:rsidR="00D43514" w:rsidRDefault="00951AC5">
      <w:r>
        <w:rPr>
          <w:rFonts w:ascii="Georgia" w:hAnsi="Georgia"/>
          <w:b/>
          <w:bCs/>
        </w:rPr>
        <w:br/>
      </w:r>
      <w:proofErr w:type="spellStart"/>
      <w:r>
        <w:rPr>
          <w:rFonts w:ascii="Georgia" w:hAnsi="Georgia"/>
          <w:b/>
          <w:bCs/>
        </w:rPr>
        <w:t>Belvedere</w:t>
      </w:r>
      <w:proofErr w:type="spellEnd"/>
    </w:p>
    <w:p w:rsidR="00D43514" w:rsidRDefault="00951AC5">
      <w:r>
        <w:rPr>
          <w:rFonts w:ascii="Georgia" w:hAnsi="Georgia"/>
        </w:rPr>
        <w:t xml:space="preserve">Ook </w:t>
      </w:r>
      <w:proofErr w:type="spellStart"/>
      <w:r>
        <w:rPr>
          <w:rFonts w:ascii="Georgia" w:hAnsi="Georgia"/>
        </w:rPr>
        <w:t>Belvedere</w:t>
      </w:r>
      <w:proofErr w:type="spellEnd"/>
      <w:r>
        <w:rPr>
          <w:rFonts w:ascii="Georgia" w:hAnsi="Georgia"/>
        </w:rPr>
        <w:t xml:space="preserve"> ging goed verder met hun evenement. </w:t>
      </w:r>
      <w:proofErr w:type="spellStart"/>
      <w:r w:rsidRPr="006477E9">
        <w:rPr>
          <w:rFonts w:ascii="Georgia" w:hAnsi="Georgia"/>
          <w:lang w:val="en-US"/>
        </w:rPr>
        <w:t>J'ai</w:t>
      </w:r>
      <w:proofErr w:type="spellEnd"/>
      <w:r w:rsidRPr="006477E9">
        <w:rPr>
          <w:rFonts w:ascii="Georgia" w:hAnsi="Georgia"/>
          <w:lang w:val="en-US"/>
        </w:rPr>
        <w:t xml:space="preserve"> </w:t>
      </w:r>
      <w:proofErr w:type="spellStart"/>
      <w:r w:rsidRPr="006477E9">
        <w:rPr>
          <w:rFonts w:ascii="Georgia" w:hAnsi="Georgia"/>
          <w:lang w:val="en-US"/>
        </w:rPr>
        <w:t>tiré</w:t>
      </w:r>
      <w:proofErr w:type="spellEnd"/>
      <w:r w:rsidRPr="006477E9">
        <w:rPr>
          <w:rFonts w:ascii="Georgia" w:hAnsi="Georgia"/>
          <w:lang w:val="en-US"/>
        </w:rPr>
        <w:t xml:space="preserve"> un ours Belvedere! </w:t>
      </w:r>
      <w:r>
        <w:rPr>
          <w:rFonts w:ascii="Georgia" w:hAnsi="Georgia"/>
        </w:rPr>
        <w:t xml:space="preserve">Volgend jaar staan er zelfs twee </w:t>
      </w:r>
      <w:r w:rsidR="00B41792">
        <w:rPr>
          <w:rFonts w:ascii="Georgia" w:hAnsi="Georgia"/>
        </w:rPr>
        <w:t xml:space="preserve">evenementen </w:t>
      </w:r>
      <w:r>
        <w:rPr>
          <w:rFonts w:ascii="Georgia" w:hAnsi="Georgia"/>
        </w:rPr>
        <w:t>op de planning.</w:t>
      </w:r>
    </w:p>
    <w:p w:rsidR="00D43514" w:rsidRDefault="00951AC5">
      <w:pPr>
        <w:rPr>
          <w:rFonts w:ascii="Georgia" w:hAnsi="Georgia"/>
        </w:rPr>
      </w:pPr>
      <w:r>
        <w:br w:type="page"/>
      </w:r>
    </w:p>
    <w:p w:rsidR="00D43514" w:rsidRDefault="00951AC5">
      <w:r>
        <w:rPr>
          <w:rFonts w:ascii="Georgia" w:hAnsi="Georgia"/>
          <w:b/>
          <w:bCs/>
          <w:sz w:val="28"/>
          <w:szCs w:val="28"/>
        </w:rPr>
        <w:lastRenderedPageBreak/>
        <w:t>Balans</w:t>
      </w:r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00"/>
        <w:gridCol w:w="1200"/>
      </w:tblGrid>
      <w:tr w:rsidR="00910B6F" w:rsidRPr="00910B6F" w:rsidTr="00910B6F">
        <w:trPr>
          <w:trHeight w:val="315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  <w:t>Activa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  <w:t>1-1-2017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  <w:t>31-12-2017</w:t>
            </w:r>
          </w:p>
        </w:tc>
      </w:tr>
      <w:tr w:rsidR="00910B6F" w:rsidRPr="00910B6F" w:rsidTr="00910B6F">
        <w:trPr>
          <w:trHeight w:val="315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1000: Betaalrekening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€ 1.282,31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€ 8.417,54</w:t>
            </w:r>
          </w:p>
        </w:tc>
      </w:tr>
      <w:tr w:rsidR="00910B6F" w:rsidRPr="00910B6F" w:rsidTr="00910B6F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1100: Spaarrekening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€ 23.384,19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€ 16.404,34</w:t>
            </w:r>
          </w:p>
        </w:tc>
      </w:tr>
      <w:tr w:rsidR="00910B6F" w:rsidRPr="00910B6F" w:rsidTr="00910B6F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1200: Kas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€ 0,00</w:t>
            </w:r>
          </w:p>
        </w:tc>
      </w:tr>
      <w:tr w:rsidR="00910B6F" w:rsidRPr="00910B6F" w:rsidTr="00910B6F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1300: Nog te ontvangen (Debiteuren)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€ 12,00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€ 55,10</w:t>
            </w:r>
          </w:p>
        </w:tc>
      </w:tr>
      <w:tr w:rsidR="00910B6F" w:rsidRPr="00910B6F" w:rsidTr="00910B6F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 xml:space="preserve">1454: Vooruitbetaalde bedragen </w:t>
            </w:r>
            <w:proofErr w:type="spellStart"/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Elerion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€ 350,00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€ 3.100,00</w:t>
            </w:r>
          </w:p>
        </w:tc>
      </w:tr>
      <w:tr w:rsidR="00910B6F" w:rsidRPr="00910B6F" w:rsidTr="00910B6F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1453: Vooruitbetaalde bedragen Herberg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€ 800,00</w:t>
            </w:r>
          </w:p>
        </w:tc>
      </w:tr>
      <w:tr w:rsidR="00910B6F" w:rsidRPr="00910B6F" w:rsidTr="00910B6F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1500: Inventaris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€ 0,00</w:t>
            </w:r>
          </w:p>
        </w:tc>
      </w:tr>
      <w:tr w:rsidR="00910B6F" w:rsidRPr="00910B6F" w:rsidTr="00910B6F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  <w:t>Totaal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 w:bidi="ar-SA"/>
              </w:rPr>
              <w:t>€ 25.028,50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 w:bidi="ar-SA"/>
              </w:rPr>
              <w:t>€ 28.776,98</w:t>
            </w:r>
          </w:p>
        </w:tc>
      </w:tr>
    </w:tbl>
    <w:p w:rsidR="00D43514" w:rsidRDefault="00D43514">
      <w:pPr>
        <w:rPr>
          <w:rFonts w:ascii="Georgia" w:hAnsi="Georgia"/>
          <w:b/>
          <w:bCs/>
          <w:sz w:val="28"/>
          <w:szCs w:val="28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5"/>
        <w:gridCol w:w="1691"/>
        <w:gridCol w:w="1334"/>
      </w:tblGrid>
      <w:tr w:rsidR="00910B6F" w:rsidRPr="00910B6F" w:rsidTr="00910B6F">
        <w:trPr>
          <w:trHeight w:val="352"/>
        </w:trPr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  <w:t>Passiva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  <w:t>1-1-2017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  <w:t>31-12-2017</w:t>
            </w:r>
          </w:p>
        </w:tc>
      </w:tr>
      <w:tr w:rsidR="00910B6F" w:rsidRPr="00910B6F" w:rsidTr="00910B6F">
        <w:trPr>
          <w:trHeight w:val="352"/>
        </w:trPr>
        <w:tc>
          <w:tcPr>
            <w:tcW w:w="631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Eigen Vermogen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€ 0,00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€ 0,00</w:t>
            </w:r>
          </w:p>
        </w:tc>
      </w:tr>
      <w:tr w:rsidR="00910B6F" w:rsidRPr="00910B6F" w:rsidTr="00910B6F">
        <w:trPr>
          <w:trHeight w:val="335"/>
        </w:trPr>
        <w:tc>
          <w:tcPr>
            <w:tcW w:w="6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1400: Nog te betalen (Crediteuren)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€ 920,00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5F3409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€ 1.</w:t>
            </w:r>
            <w:r w:rsidR="005F340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385</w:t>
            </w: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,1</w:t>
            </w:r>
            <w:r w:rsidR="005F340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0</w:t>
            </w:r>
          </w:p>
        </w:tc>
      </w:tr>
      <w:tr w:rsidR="00910B6F" w:rsidRPr="00910B6F" w:rsidTr="00910B6F">
        <w:trPr>
          <w:trHeight w:val="335"/>
        </w:trPr>
        <w:tc>
          <w:tcPr>
            <w:tcW w:w="6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1411: Vooruit ontvangen contributie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€ 594,00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€ 726,00</w:t>
            </w:r>
          </w:p>
        </w:tc>
      </w:tr>
      <w:tr w:rsidR="00910B6F" w:rsidRPr="00910B6F" w:rsidTr="00910B6F">
        <w:trPr>
          <w:trHeight w:val="335"/>
        </w:trPr>
        <w:tc>
          <w:tcPr>
            <w:tcW w:w="6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1413: Vooruit ontvangen Herberg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€ 0,00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€ 530,00</w:t>
            </w:r>
          </w:p>
        </w:tc>
      </w:tr>
      <w:tr w:rsidR="00910B6F" w:rsidRPr="00910B6F" w:rsidTr="00910B6F">
        <w:trPr>
          <w:trHeight w:val="335"/>
        </w:trPr>
        <w:tc>
          <w:tcPr>
            <w:tcW w:w="6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 xml:space="preserve">1414: Vooruit ontvangen </w:t>
            </w:r>
            <w:proofErr w:type="spellStart"/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Elerion</w:t>
            </w:r>
            <w:proofErr w:type="spellEnd"/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€ 8.540,00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€ 8.195,00</w:t>
            </w:r>
          </w:p>
        </w:tc>
      </w:tr>
      <w:tr w:rsidR="00910B6F" w:rsidRPr="00910B6F" w:rsidTr="00910B6F">
        <w:trPr>
          <w:trHeight w:val="335"/>
        </w:trPr>
        <w:tc>
          <w:tcPr>
            <w:tcW w:w="6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1418: Vooruit</w:t>
            </w:r>
            <w:r w:rsidR="00B41792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 xml:space="preserve"> </w:t>
            </w: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 xml:space="preserve">ontvangen </w:t>
            </w:r>
            <w:proofErr w:type="spellStart"/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Belvedere</w:t>
            </w:r>
            <w:proofErr w:type="spellEnd"/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€ 0,00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€ 2.350,00</w:t>
            </w:r>
          </w:p>
        </w:tc>
      </w:tr>
      <w:tr w:rsidR="00910B6F" w:rsidRPr="00910B6F" w:rsidTr="00910B6F">
        <w:trPr>
          <w:trHeight w:val="352"/>
        </w:trPr>
        <w:tc>
          <w:tcPr>
            <w:tcW w:w="6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1417: Lustrum reservering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€ 200,00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€ 300,00</w:t>
            </w:r>
          </w:p>
        </w:tc>
      </w:tr>
      <w:tr w:rsidR="00910B6F" w:rsidRPr="00910B6F" w:rsidTr="00910B6F">
        <w:trPr>
          <w:trHeight w:val="352"/>
        </w:trPr>
        <w:tc>
          <w:tcPr>
            <w:tcW w:w="6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1605: Risico reserve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€ 9.000,00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€ 9.000,00</w:t>
            </w:r>
          </w:p>
        </w:tc>
      </w:tr>
      <w:tr w:rsidR="00910B6F" w:rsidRPr="00910B6F" w:rsidTr="00910B6F">
        <w:trPr>
          <w:trHeight w:val="335"/>
        </w:trPr>
        <w:tc>
          <w:tcPr>
            <w:tcW w:w="6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 xml:space="preserve">1610: </w:t>
            </w:r>
            <w:proofErr w:type="spellStart"/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Elerion</w:t>
            </w:r>
            <w:proofErr w:type="spellEnd"/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 xml:space="preserve"> reserve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€ 2.063,89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€ 3.079,43</w:t>
            </w:r>
          </w:p>
        </w:tc>
      </w:tr>
      <w:tr w:rsidR="00910B6F" w:rsidRPr="00910B6F" w:rsidTr="00910B6F">
        <w:trPr>
          <w:trHeight w:val="335"/>
        </w:trPr>
        <w:tc>
          <w:tcPr>
            <w:tcW w:w="6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1630: Bron reserve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€ 313,15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€ 26,29</w:t>
            </w:r>
          </w:p>
        </w:tc>
      </w:tr>
      <w:tr w:rsidR="00910B6F" w:rsidRPr="00910B6F" w:rsidTr="00910B6F">
        <w:trPr>
          <w:trHeight w:val="335"/>
        </w:trPr>
        <w:tc>
          <w:tcPr>
            <w:tcW w:w="6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 xml:space="preserve">1650: </w:t>
            </w:r>
            <w:proofErr w:type="spellStart"/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Belvedere</w:t>
            </w:r>
            <w:proofErr w:type="spellEnd"/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 xml:space="preserve"> reserve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€ 551,19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€ 84,26</w:t>
            </w:r>
          </w:p>
        </w:tc>
      </w:tr>
      <w:tr w:rsidR="00910B6F" w:rsidRPr="00910B6F" w:rsidTr="00910B6F">
        <w:trPr>
          <w:trHeight w:val="335"/>
        </w:trPr>
        <w:tc>
          <w:tcPr>
            <w:tcW w:w="6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1660: Herberg reserve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€ 36,17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5F3409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 xml:space="preserve">€ </w:t>
            </w:r>
            <w:r w:rsidR="005F340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151</w:t>
            </w: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,</w:t>
            </w:r>
            <w:bookmarkStart w:id="0" w:name="_GoBack"/>
            <w:r w:rsidR="005F340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80</w:t>
            </w:r>
            <w:bookmarkEnd w:id="0"/>
          </w:p>
        </w:tc>
      </w:tr>
      <w:tr w:rsidR="00910B6F" w:rsidRPr="00910B6F" w:rsidTr="00910B6F">
        <w:trPr>
          <w:trHeight w:val="335"/>
        </w:trPr>
        <w:tc>
          <w:tcPr>
            <w:tcW w:w="6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1670: Horror reserve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€ 621,79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€ 621,79</w:t>
            </w:r>
          </w:p>
        </w:tc>
      </w:tr>
      <w:tr w:rsidR="00910B6F" w:rsidRPr="00910B6F" w:rsidTr="00910B6F">
        <w:trPr>
          <w:trHeight w:val="335"/>
        </w:trPr>
        <w:tc>
          <w:tcPr>
            <w:tcW w:w="6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1681: Kleine evenementen reserve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€ 0,00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€ 25,44</w:t>
            </w:r>
          </w:p>
        </w:tc>
      </w:tr>
      <w:tr w:rsidR="00910B6F" w:rsidRPr="00910B6F" w:rsidTr="00910B6F">
        <w:trPr>
          <w:trHeight w:val="352"/>
        </w:trPr>
        <w:tc>
          <w:tcPr>
            <w:tcW w:w="6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sz w:val="22"/>
                <w:szCs w:val="22"/>
                <w:lang w:eastAsia="nl-NL" w:bidi="ar-SA"/>
              </w:rPr>
              <w:t>1690: Vereniging reserve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€ 2.188,31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 w:bidi="ar-SA"/>
              </w:rPr>
              <w:t>€ 2.301,87</w:t>
            </w:r>
          </w:p>
        </w:tc>
      </w:tr>
      <w:tr w:rsidR="00910B6F" w:rsidRPr="00910B6F" w:rsidTr="00910B6F">
        <w:trPr>
          <w:trHeight w:val="352"/>
        </w:trPr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nl-NL" w:bidi="ar-SA"/>
              </w:rPr>
              <w:t>Totaal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 w:bidi="ar-SA"/>
              </w:rPr>
              <w:t>€ 25.028,50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6F" w:rsidRPr="00910B6F" w:rsidRDefault="00910B6F" w:rsidP="00910B6F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 w:bidi="ar-SA"/>
              </w:rPr>
            </w:pPr>
            <w:r w:rsidRPr="00910B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 w:bidi="ar-SA"/>
              </w:rPr>
              <w:t>€ 28.776,98</w:t>
            </w:r>
          </w:p>
        </w:tc>
      </w:tr>
    </w:tbl>
    <w:p w:rsidR="00D43514" w:rsidRDefault="00951AC5">
      <w:r>
        <w:rPr>
          <w:rFonts w:ascii="Georgia" w:hAnsi="Georgia"/>
          <w:b/>
          <w:bCs/>
          <w:sz w:val="28"/>
          <w:szCs w:val="28"/>
        </w:rPr>
        <w:br/>
      </w:r>
    </w:p>
    <w:p w:rsidR="00D43514" w:rsidRDefault="00D43514"/>
    <w:p w:rsidR="00D43514" w:rsidRDefault="00D43514"/>
    <w:p w:rsidR="00D43514" w:rsidRDefault="00D43514"/>
    <w:p w:rsidR="00D43514" w:rsidRDefault="00D43514"/>
    <w:p w:rsidR="00D43514" w:rsidRDefault="00D43514"/>
    <w:p w:rsidR="00D43514" w:rsidRDefault="00D43514"/>
    <w:p w:rsidR="00D43514" w:rsidRDefault="00D43514"/>
    <w:sectPr w:rsidR="00D43514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14"/>
    <w:rsid w:val="005F3409"/>
    <w:rsid w:val="006477E9"/>
    <w:rsid w:val="00910B6F"/>
    <w:rsid w:val="00951AC5"/>
    <w:rsid w:val="00B41792"/>
    <w:rsid w:val="00CA502A"/>
    <w:rsid w:val="00D43514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3657C-ED39-463E-A943-7C9A2564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after="160" w:line="254" w:lineRule="auto"/>
      <w:textAlignment w:val="baseline"/>
    </w:pPr>
    <w:rPr>
      <w:rFonts w:ascii="Times New Roman" w:eastAsia="Andale Sans UI" w:hAnsi="Times New Roman" w:cs="Tahoma"/>
      <w:sz w:val="24"/>
      <w:szCs w:val="24"/>
      <w:lang w:eastAsia="en-US" w:bidi="en-US"/>
    </w:rPr>
  </w:style>
  <w:style w:type="paragraph" w:styleId="Kop1">
    <w:name w:val="heading 1"/>
    <w:basedOn w:val="Kop"/>
    <w:qFormat/>
    <w:pPr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  <w:lang w:val="en-US" w:eastAsia="en-US" w:bidi="en-US"/>
    </w:rPr>
  </w:style>
  <w:style w:type="character" w:customStyle="1" w:styleId="BallontekstChar">
    <w:name w:val="Ballontekst Char"/>
    <w:basedOn w:val="Standaardalinea-lettertype"/>
    <w:qFormat/>
    <w:rPr>
      <w:rFonts w:ascii="Tahoma" w:eastAsia="Andale Sans UI" w:hAnsi="Tahoma" w:cs="Tahoma"/>
      <w:sz w:val="16"/>
      <w:szCs w:val="16"/>
      <w:lang w:eastAsia="en-US"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Mangal"/>
    </w:rPr>
  </w:style>
  <w:style w:type="paragraph" w:customStyle="1" w:styleId="Textbody">
    <w:name w:val="Text body"/>
    <w:basedOn w:val="Standaard"/>
    <w:qFormat/>
    <w:pPr>
      <w:spacing w:after="120"/>
    </w:pPr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styleId="Ballontekst">
    <w:name w:val="Balloon Text"/>
    <w:basedOn w:val="Standaard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3217F"/>
    <w:pPr>
      <w:ind w:left="720"/>
      <w:contextualSpacing/>
    </w:pPr>
  </w:style>
  <w:style w:type="paragraph" w:styleId="Revisie">
    <w:name w:val="Revision"/>
    <w:hidden/>
    <w:uiPriority w:val="99"/>
    <w:semiHidden/>
    <w:rsid w:val="005F3409"/>
    <w:rPr>
      <w:rFonts w:ascii="Times New Roman" w:eastAsia="Andale Sans UI" w:hAnsi="Times New Roman" w:cs="Tahoma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Inholland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Moniek Pillen</dc:creator>
  <cp:lastModifiedBy>Moniek Pillen</cp:lastModifiedBy>
  <cp:revision>2</cp:revision>
  <dcterms:created xsi:type="dcterms:W3CDTF">2018-01-21T15:10:00Z</dcterms:created>
  <dcterms:modified xsi:type="dcterms:W3CDTF">2018-01-21T15:10:00Z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Hogeschool Inholland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