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36" w:rsidRDefault="00C9188B">
      <w:pPr>
        <w:pStyle w:val="Kop1"/>
        <w:jc w:val="center"/>
      </w:pPr>
      <w:r>
        <w:rPr>
          <w:rFonts w:ascii="Georgia" w:hAnsi="Georgia"/>
          <w:sz w:val="36"/>
          <w:szCs w:val="36"/>
        </w:rPr>
        <w:t>Financieel verslag Arcana 2014</w:t>
      </w:r>
    </w:p>
    <w:p w:rsidR="00D75B36" w:rsidRDefault="00D75B36"/>
    <w:p w:rsidR="00D75B36" w:rsidRDefault="00C9188B">
      <w:r>
        <w:rPr>
          <w:rFonts w:ascii="Georgia" w:hAnsi="Georgia"/>
          <w:b/>
          <w:bCs/>
          <w:sz w:val="28"/>
          <w:szCs w:val="28"/>
        </w:rPr>
        <w:t>Verantwoording</w:t>
      </w:r>
    </w:p>
    <w:p w:rsidR="00D75B36" w:rsidRDefault="00D75B36"/>
    <w:p w:rsidR="00D75B36" w:rsidRDefault="00C9188B">
      <w:r>
        <w:rPr>
          <w:rFonts w:ascii="Georgia" w:hAnsi="Georgia"/>
        </w:rPr>
        <w:t xml:space="preserve">Afgelopen ALV waren de leden enthousiast over </w:t>
      </w:r>
      <w:r>
        <w:rPr>
          <w:rFonts w:ascii="Georgia" w:hAnsi="Georgia"/>
          <w:color w:val="000000"/>
        </w:rPr>
        <w:t>de</w:t>
      </w:r>
      <w:r>
        <w:rPr>
          <w:rFonts w:ascii="Georgia" w:hAnsi="Georgia"/>
        </w:rPr>
        <w:t xml:space="preserve"> verkorte </w:t>
      </w:r>
      <w:r>
        <w:rPr>
          <w:rFonts w:ascii="Georgia" w:hAnsi="Georgia"/>
          <w:color w:val="000000"/>
        </w:rPr>
        <w:t>financiële</w:t>
      </w:r>
      <w:r>
        <w:rPr>
          <w:rFonts w:ascii="Georgia" w:hAnsi="Georgia"/>
        </w:rPr>
        <w:t xml:space="preserve"> verslag van 2013. Daarom is er ook dit jaar gekozen om twee versies te maken; een </w:t>
      </w:r>
      <w:r>
        <w:rPr>
          <w:rFonts w:ascii="Georgia" w:hAnsi="Georgia"/>
          <w:color w:val="000000"/>
        </w:rPr>
        <w:t>gedetailleerde</w:t>
      </w:r>
      <w:r>
        <w:rPr>
          <w:rFonts w:ascii="Georgia" w:hAnsi="Georgia"/>
        </w:rPr>
        <w:t xml:space="preserve"> versie en deze verkorte versie.</w:t>
      </w:r>
    </w:p>
    <w:p w:rsidR="00D75B36" w:rsidRPr="00C9188B" w:rsidRDefault="00C9188B">
      <w:pPr>
        <w:rPr>
          <w:color w:val="000000" w:themeColor="text1"/>
        </w:rPr>
      </w:pPr>
      <w:r w:rsidRPr="00C9188B">
        <w:rPr>
          <w:rFonts w:ascii="Georgia" w:hAnsi="Georgia"/>
          <w:color w:val="000000" w:themeColor="text1"/>
        </w:rPr>
        <w:t>In dit verslag maken we in 3 pagina’s duidelijk wat er op financieel gebied gebeurde met de vereniging in 2014, en de onderbouwing daarvoor.</w:t>
      </w:r>
    </w:p>
    <w:p w:rsidR="00D75B36" w:rsidRDefault="00D75B36"/>
    <w:p w:rsidR="00D75B36" w:rsidRDefault="00C9188B">
      <w:r>
        <w:rPr>
          <w:rFonts w:ascii="Georgia" w:hAnsi="Georgia"/>
          <w:b/>
          <w:bCs/>
          <w:sz w:val="28"/>
          <w:szCs w:val="28"/>
        </w:rPr>
        <w:t>2014 in woorden</w:t>
      </w:r>
    </w:p>
    <w:p w:rsidR="00D75B36" w:rsidRDefault="00D75B36"/>
    <w:p w:rsidR="00D75B36" w:rsidRDefault="00C9188B">
      <w:r>
        <w:rPr>
          <w:rFonts w:ascii="Georgia" w:hAnsi="Georgia"/>
        </w:rPr>
        <w:t>Er zijn een aantal belangrijke zaken gebeurd. Een opsomming, In 2014</w:t>
      </w:r>
    </w:p>
    <w:p w:rsidR="00D75B36" w:rsidRDefault="00C9188B">
      <w:r>
        <w:rPr>
          <w:rFonts w:ascii="Georgia" w:hAnsi="Georgia"/>
        </w:rPr>
        <w:t xml:space="preserve">- is de </w:t>
      </w:r>
      <w:proofErr w:type="spellStart"/>
      <w:r>
        <w:rPr>
          <w:rFonts w:ascii="Georgia" w:hAnsi="Georgia"/>
        </w:rPr>
        <w:t>Lamorak</w:t>
      </w:r>
      <w:proofErr w:type="spellEnd"/>
      <w:r>
        <w:rPr>
          <w:rFonts w:ascii="Georgia" w:hAnsi="Georgia"/>
        </w:rPr>
        <w:t xml:space="preserve"> reserve over</w:t>
      </w:r>
      <w:r>
        <w:rPr>
          <w:rFonts w:ascii="Georgia" w:hAnsi="Georgia"/>
        </w:rPr>
        <w:t>geboekt naar de verenigings-reserve (€ 737,56)</w:t>
      </w:r>
    </w:p>
    <w:p w:rsidR="00D75B36" w:rsidRDefault="00C9188B">
      <w:r>
        <w:rPr>
          <w:rFonts w:ascii="Georgia" w:hAnsi="Georgia"/>
        </w:rPr>
        <w:t>- is de workshop reserve aangevuld tot nul vanuit de verenigings-reserve (€ 23.60)</w:t>
      </w:r>
    </w:p>
    <w:p w:rsidR="00D75B36" w:rsidRDefault="00C9188B">
      <w:r>
        <w:rPr>
          <w:rFonts w:ascii="Georgia" w:hAnsi="Georgia"/>
        </w:rPr>
        <w:t>- bestond Arcana 20 jaar en is er een lustrum georganiseerd</w:t>
      </w:r>
    </w:p>
    <w:p w:rsidR="00D75B36" w:rsidRDefault="00C9188B">
      <w:r>
        <w:rPr>
          <w:rFonts w:ascii="Georgia" w:hAnsi="Georgia"/>
        </w:rPr>
        <w:t>- heeft de vereniging € 1.584,00 ontvangen aan lidmaatschapsgelden</w:t>
      </w:r>
    </w:p>
    <w:p w:rsidR="00D75B36" w:rsidRDefault="00C9188B">
      <w:r>
        <w:rPr>
          <w:rFonts w:ascii="Georgia" w:hAnsi="Georgia"/>
        </w:rPr>
        <w:t>- heeft de vereniging € 310,38 ontvangen aan rente</w:t>
      </w:r>
    </w:p>
    <w:p w:rsidR="00D75B36" w:rsidRDefault="00C9188B">
      <w:r>
        <w:rPr>
          <w:rFonts w:ascii="Georgia" w:hAnsi="Georgia"/>
        </w:rPr>
        <w:t>- heeft de vereniging € 178,55 ontvangen aan giften</w:t>
      </w:r>
    </w:p>
    <w:p w:rsidR="00D75B36" w:rsidRDefault="00C9188B">
      <w:r>
        <w:rPr>
          <w:rFonts w:ascii="Georgia" w:hAnsi="Georgia"/>
        </w:rPr>
        <w:t>- heeft de vereniging geen investeringen gedaan waardoor er geld over is (€ 1382,26)</w:t>
      </w:r>
    </w:p>
    <w:p w:rsidR="00D75B36" w:rsidRDefault="00C9188B">
      <w:r>
        <w:rPr>
          <w:rFonts w:ascii="Georgia" w:hAnsi="Georgia"/>
        </w:rPr>
        <w:t>- heeft de vereniging een openstaande debiteur afgeboekt uit 2012 (</w:t>
      </w:r>
      <w:r>
        <w:rPr>
          <w:rFonts w:ascii="Georgia" w:hAnsi="Georgia"/>
        </w:rPr>
        <w:t xml:space="preserve">€ 680,00) </w:t>
      </w:r>
    </w:p>
    <w:p w:rsidR="00D75B36" w:rsidRDefault="00C9188B">
      <w:r>
        <w:rPr>
          <w:rFonts w:ascii="Georgia" w:hAnsi="Georgia"/>
        </w:rPr>
        <w:t>- is er een SFX reserve ontstaan (€ 217,50)</w:t>
      </w:r>
    </w:p>
    <w:p w:rsidR="00D75B36" w:rsidRPr="00C9188B" w:rsidRDefault="00C9188B">
      <w:pPr>
        <w:rPr>
          <w:color w:val="000000" w:themeColor="text1"/>
        </w:rPr>
      </w:pPr>
      <w:r w:rsidRPr="00C9188B">
        <w:rPr>
          <w:rFonts w:ascii="Georgia" w:hAnsi="Georgia"/>
          <w:color w:val="000000" w:themeColor="text1"/>
        </w:rPr>
        <w:t xml:space="preserve">- </w:t>
      </w:r>
      <w:r w:rsidRPr="00C9188B">
        <w:rPr>
          <w:rFonts w:ascii="Georgia" w:hAnsi="Georgia"/>
          <w:color w:val="000000" w:themeColor="text1"/>
        </w:rPr>
        <w:t>is de totale balans € 2244 euro lager ten opzichte van het voorgaande jaar, dit vooral in verband met het later opstarten van Wolfhagen, waardoor die vooruitbetaalde posten nu lager zijn</w:t>
      </w:r>
    </w:p>
    <w:p w:rsidR="00D75B36" w:rsidRDefault="00D75B36"/>
    <w:p w:rsidR="00D75B36" w:rsidRDefault="00C9188B">
      <w:r>
        <w:rPr>
          <w:rFonts w:ascii="Georgia" w:hAnsi="Georgia"/>
          <w:b/>
          <w:bCs/>
          <w:sz w:val="28"/>
          <w:szCs w:val="28"/>
        </w:rPr>
        <w:t>De mensen</w:t>
      </w:r>
    </w:p>
    <w:p w:rsidR="00D75B36" w:rsidRDefault="00D75B36"/>
    <w:p w:rsidR="00D75B36" w:rsidRDefault="00C9188B">
      <w:r>
        <w:rPr>
          <w:rFonts w:ascii="Georgia" w:hAnsi="Georgia"/>
        </w:rPr>
        <w:t xml:space="preserve">Penningmeester: Moniek </w:t>
      </w:r>
      <w:proofErr w:type="spellStart"/>
      <w:r>
        <w:rPr>
          <w:rFonts w:ascii="Georgia" w:hAnsi="Georgia"/>
        </w:rPr>
        <w:t>Schaekens</w:t>
      </w:r>
      <w:proofErr w:type="spellEnd"/>
      <w:r>
        <w:rPr>
          <w:rFonts w:ascii="Georgia" w:hAnsi="Georgia"/>
        </w:rPr>
        <w:t xml:space="preserve"> - Pillen</w:t>
      </w:r>
    </w:p>
    <w:p w:rsidR="00D75B36" w:rsidRDefault="00C9188B">
      <w:r>
        <w:rPr>
          <w:rFonts w:ascii="Georgia" w:hAnsi="Georgia"/>
        </w:rPr>
        <w:t>Assistent penningmeester: Marcel Oerlemans</w:t>
      </w:r>
    </w:p>
    <w:p w:rsidR="00D75B36" w:rsidRDefault="00C9188B">
      <w:r>
        <w:rPr>
          <w:rFonts w:ascii="Georgia" w:hAnsi="Georgia"/>
        </w:rPr>
        <w:t>Financiële commissie: Raymond Kales, Leon van Ee</w:t>
      </w:r>
    </w:p>
    <w:p w:rsidR="00D75B36" w:rsidRDefault="00D75B36"/>
    <w:p w:rsidR="00D75B36" w:rsidRDefault="00D75B36"/>
    <w:p w:rsidR="00D75B36" w:rsidRDefault="00C9188B">
      <w:pPr>
        <w:pageBreakBefore/>
      </w:pPr>
      <w:r>
        <w:rPr>
          <w:rFonts w:ascii="Georgia" w:hAnsi="Georgia"/>
          <w:b/>
          <w:bCs/>
          <w:sz w:val="28"/>
          <w:szCs w:val="28"/>
        </w:rPr>
        <w:lastRenderedPageBreak/>
        <w:t>Winst/Verlies &amp;  Afwijking ten opzichte van de begroting</w:t>
      </w:r>
    </w:p>
    <w:p w:rsidR="00D75B36" w:rsidRDefault="00C9188B">
      <w:r>
        <w:rPr>
          <w:rFonts w:ascii="Georgia" w:hAnsi="Georgia"/>
          <w:b/>
          <w:bCs/>
        </w:rPr>
        <w:br/>
      </w:r>
      <w:r>
        <w:rPr>
          <w:rFonts w:ascii="Georgia" w:hAnsi="Georgia"/>
          <w:b/>
          <w:bCs/>
        </w:rPr>
        <w:t>Vereniging</w:t>
      </w:r>
    </w:p>
    <w:p w:rsidR="00D75B36" w:rsidRDefault="00C9188B">
      <w:r>
        <w:rPr>
          <w:rFonts w:ascii="Georgia" w:hAnsi="Georgia"/>
        </w:rPr>
        <w:t xml:space="preserve">Er was in 2014 geen begroting voor de vereniging. </w:t>
      </w:r>
      <w:r>
        <w:rPr>
          <w:rFonts w:ascii="Georgia" w:hAnsi="Georgia"/>
        </w:rPr>
        <w:t>Vanwege de overname van de penningen en de toen nog ontbrekende getallen van 2013 is deze aan het eind van het jaar niet meer gemaakt. De vereniging heeft daarom geen grote uitgaven gedaan dit jaar. Hierdoor is er geld overgebleven</w:t>
      </w:r>
    </w:p>
    <w:p w:rsidR="00D75B36" w:rsidRDefault="00C9188B">
      <w:r>
        <w:rPr>
          <w:rFonts w:ascii="Georgia" w:hAnsi="Georgia"/>
          <w:b/>
          <w:bCs/>
        </w:rPr>
        <w:br/>
      </w:r>
      <w:proofErr w:type="spellStart"/>
      <w:r>
        <w:rPr>
          <w:rFonts w:ascii="Georgia" w:hAnsi="Georgia"/>
          <w:b/>
          <w:bCs/>
        </w:rPr>
        <w:t>Elerion</w:t>
      </w:r>
      <w:proofErr w:type="spellEnd"/>
    </w:p>
    <w:p w:rsidR="00D75B36" w:rsidRDefault="00C9188B">
      <w:proofErr w:type="spellStart"/>
      <w:r>
        <w:rPr>
          <w:rFonts w:ascii="Georgia" w:hAnsi="Georgia"/>
        </w:rPr>
        <w:t>Elerion</w:t>
      </w:r>
      <w:proofErr w:type="spellEnd"/>
      <w:r>
        <w:rPr>
          <w:rFonts w:ascii="Georgia" w:hAnsi="Georgia"/>
        </w:rPr>
        <w:t xml:space="preserve"> heeft i</w:t>
      </w:r>
      <w:r>
        <w:rPr>
          <w:rFonts w:ascii="Georgia" w:hAnsi="Georgia"/>
        </w:rPr>
        <w:t xml:space="preserve">n 2014  € 1037,47 meer op haar reserve. Oorspronkelijk was begroot om € 998,38 te investeren ten koste van de reserve. Door een meevaller bij de locatie van </w:t>
      </w:r>
      <w:proofErr w:type="spellStart"/>
      <w:r>
        <w:rPr>
          <w:rFonts w:ascii="Georgia" w:hAnsi="Georgia"/>
        </w:rPr>
        <w:t>elerion</w:t>
      </w:r>
      <w:proofErr w:type="spellEnd"/>
      <w:r>
        <w:rPr>
          <w:rFonts w:ascii="Georgia" w:hAnsi="Georgia"/>
        </w:rPr>
        <w:t xml:space="preserve"> 39, de rekening viel 700 euro lager uit, en het meegaan van meer figuranten, is er niet ing</w:t>
      </w:r>
      <w:r>
        <w:rPr>
          <w:rFonts w:ascii="Georgia" w:hAnsi="Georgia"/>
        </w:rPr>
        <w:t xml:space="preserve">eteerd op de reserve, en is deze zelfs toegenomen.   </w:t>
      </w:r>
    </w:p>
    <w:p w:rsidR="00D75B36" w:rsidRDefault="00C9188B">
      <w:r>
        <w:rPr>
          <w:rFonts w:ascii="Georgia" w:hAnsi="Georgia"/>
          <w:b/>
          <w:bCs/>
        </w:rPr>
        <w:br/>
      </w:r>
      <w:r>
        <w:rPr>
          <w:rFonts w:ascii="Georgia" w:hAnsi="Georgia"/>
          <w:b/>
          <w:bCs/>
        </w:rPr>
        <w:t>De Bron</w:t>
      </w:r>
    </w:p>
    <w:p w:rsidR="00D75B36" w:rsidRDefault="00C9188B">
      <w:r>
        <w:rPr>
          <w:rFonts w:ascii="Georgia" w:hAnsi="Georgia"/>
        </w:rPr>
        <w:t xml:space="preserve">De reserve van De Bron is met € 2370,17 afgenomen, dit is nog meer dan de geplande afname van € 1040,90.  Dit grote verschil komt door het aanschaffen van een paar grote monsterpakken. </w:t>
      </w:r>
    </w:p>
    <w:p w:rsidR="00D75B36" w:rsidRDefault="00C9188B">
      <w:r>
        <w:rPr>
          <w:rFonts w:ascii="Georgia" w:hAnsi="Georgia"/>
          <w:b/>
          <w:bCs/>
        </w:rPr>
        <w:br/>
      </w:r>
      <w:r>
        <w:rPr>
          <w:rFonts w:ascii="Georgia" w:hAnsi="Georgia"/>
          <w:b/>
          <w:bCs/>
        </w:rPr>
        <w:t>Wolfha</w:t>
      </w:r>
      <w:r>
        <w:rPr>
          <w:rFonts w:ascii="Georgia" w:hAnsi="Georgia"/>
          <w:b/>
          <w:bCs/>
        </w:rPr>
        <w:t>gen</w:t>
      </w:r>
    </w:p>
    <w:p w:rsidR="00D75B36" w:rsidRDefault="00C9188B">
      <w:r>
        <w:rPr>
          <w:rFonts w:ascii="Georgia" w:hAnsi="Georgia"/>
        </w:rPr>
        <w:t>Wolfhagen heeft een toename van de reserve van € 11,55. De geplande toename was € 31,00. Een prachtig voorbeeld van een begroting en afrekening die perfect op elkaar aansluiten.</w:t>
      </w:r>
    </w:p>
    <w:p w:rsidR="00D75B36" w:rsidRDefault="00C9188B">
      <w:r>
        <w:rPr>
          <w:rFonts w:ascii="Georgia" w:hAnsi="Georgia"/>
          <w:b/>
          <w:bCs/>
        </w:rPr>
        <w:br/>
      </w:r>
      <w:r>
        <w:rPr>
          <w:rFonts w:ascii="Georgia" w:hAnsi="Georgia"/>
          <w:b/>
          <w:bCs/>
        </w:rPr>
        <w:t>Herberg</w:t>
      </w:r>
    </w:p>
    <w:p w:rsidR="00D75B36" w:rsidRPr="00C9188B" w:rsidRDefault="00C9188B">
      <w:pPr>
        <w:rPr>
          <w:color w:val="000000" w:themeColor="text1"/>
        </w:rPr>
      </w:pPr>
      <w:r>
        <w:rPr>
          <w:rFonts w:ascii="Georgia" w:hAnsi="Georgia"/>
        </w:rPr>
        <w:t>De Herberg heeft in 2014, € 1300,44 positief gedraaid in plaats v</w:t>
      </w:r>
      <w:r>
        <w:rPr>
          <w:rFonts w:ascii="Georgia" w:hAnsi="Georgia"/>
        </w:rPr>
        <w:t>an de begrote - € 270,63. Dit grote verschil komt door een ruim 40% toename van deelnemers bij de Herberg 3 ten opzichte van de begroting. Ook bij de Herberg 4 vielen de uitgaven achteraf mee.</w:t>
      </w:r>
      <w:r>
        <w:rPr>
          <w:rFonts w:ascii="Georgia" w:hAnsi="Georgia"/>
        </w:rPr>
        <w:br/>
      </w:r>
      <w:r w:rsidRPr="00C9188B">
        <w:rPr>
          <w:rFonts w:ascii="Georgia" w:hAnsi="Georgia"/>
          <w:color w:val="000000" w:themeColor="text1"/>
        </w:rPr>
        <w:t>De Herberg is hiermee van hun negatieve reserve af en heeft zel</w:t>
      </w:r>
      <w:r w:rsidRPr="00C9188B">
        <w:rPr>
          <w:rFonts w:ascii="Georgia" w:hAnsi="Georgia"/>
          <w:color w:val="000000" w:themeColor="text1"/>
        </w:rPr>
        <w:t xml:space="preserve">fs een </w:t>
      </w:r>
      <w:r w:rsidRPr="00C9188B">
        <w:rPr>
          <w:rFonts w:ascii="Georgia" w:hAnsi="Georgia"/>
          <w:color w:val="000000" w:themeColor="text1"/>
        </w:rPr>
        <w:t>relatief grote</w:t>
      </w:r>
      <w:r w:rsidRPr="00C9188B">
        <w:rPr>
          <w:rFonts w:ascii="Georgia" w:hAnsi="Georgia"/>
          <w:color w:val="000000" w:themeColor="text1"/>
        </w:rPr>
        <w:t xml:space="preserve"> reserve opgebouwd (€ 1.168,73). </w:t>
      </w:r>
      <w:r w:rsidRPr="00C9188B">
        <w:rPr>
          <w:rFonts w:ascii="Georgia" w:hAnsi="Georgia"/>
          <w:color w:val="000000" w:themeColor="text1"/>
        </w:rPr>
        <w:t xml:space="preserve">Van dit bedrag zal nog rond de 340 euro betaald worden aan de locatie van Herberg 4, waar we echter nog geen definitieve afrekening van hebben gekregen. Daardoor komen we uit op een reële reserve van € </w:t>
      </w:r>
      <w:r w:rsidRPr="00C9188B">
        <w:rPr>
          <w:rFonts w:ascii="Georgia" w:hAnsi="Georgia"/>
          <w:color w:val="000000" w:themeColor="text1"/>
        </w:rPr>
        <w:t>828,73.</w:t>
      </w:r>
    </w:p>
    <w:p w:rsidR="00D75B36" w:rsidRDefault="00C9188B">
      <w:r w:rsidRPr="00C9188B">
        <w:rPr>
          <w:rFonts w:ascii="Georgia" w:hAnsi="Georgia"/>
          <w:color w:val="000000" w:themeColor="text1"/>
        </w:rPr>
        <w:t xml:space="preserve">Deze reserve </w:t>
      </w:r>
      <w:r w:rsidRPr="00C9188B">
        <w:rPr>
          <w:rFonts w:ascii="Georgia" w:hAnsi="Georgia"/>
          <w:color w:val="000000" w:themeColor="text1"/>
        </w:rPr>
        <w:t>van de herberg zal komend jaar worden verminderd. Doordat het evenement</w:t>
      </w:r>
      <w:r>
        <w:rPr>
          <w:rFonts w:ascii="Georgia" w:hAnsi="Georgia"/>
        </w:rPr>
        <w:t xml:space="preserve"> langer draait ontstaat er meer stabiliteit en komen de begroting en afrekening steeds iets meer met elkaar overeen zoals al te zien is bij de herberg 4.</w:t>
      </w:r>
    </w:p>
    <w:p w:rsidR="00D75B36" w:rsidRDefault="00C9188B">
      <w:r>
        <w:rPr>
          <w:rFonts w:ascii="Georgia" w:hAnsi="Georgia"/>
          <w:b/>
          <w:bCs/>
        </w:rPr>
        <w:br/>
      </w:r>
      <w:r>
        <w:rPr>
          <w:rFonts w:ascii="Georgia" w:hAnsi="Georgia"/>
          <w:b/>
          <w:bCs/>
        </w:rPr>
        <w:t>Lustrum</w:t>
      </w:r>
    </w:p>
    <w:p w:rsidR="00D75B36" w:rsidRDefault="00C9188B">
      <w:r>
        <w:rPr>
          <w:rFonts w:ascii="Georgia" w:hAnsi="Georgia"/>
        </w:rPr>
        <w:t>Het Lustrum had een reserve van 500 euro gekregen van Arcana. Door de grote inzet van de leden zijn er vrijwel geen kosten gemaakt voor de gedane activiteiten. Er is daarom € 278,07 overgehouden van de reservering. Grote dank aan alle leden die een bijdrag</w:t>
      </w:r>
      <w:r>
        <w:rPr>
          <w:rFonts w:ascii="Georgia" w:hAnsi="Georgia"/>
        </w:rPr>
        <w:t>e aan dit jubileum hebben geleverd.</w:t>
      </w:r>
    </w:p>
    <w:p w:rsidR="00D75B36" w:rsidRDefault="00C9188B">
      <w:r>
        <w:rPr>
          <w:rFonts w:ascii="Georgia" w:hAnsi="Georgia"/>
          <w:b/>
          <w:bCs/>
          <w:sz w:val="28"/>
          <w:szCs w:val="28"/>
        </w:rPr>
        <w:lastRenderedPageBreak/>
        <w:t>Balans</w:t>
      </w:r>
    </w:p>
    <w:p w:rsidR="00D75B36" w:rsidRDefault="00D75B36"/>
    <w:p w:rsidR="00D75B36" w:rsidRDefault="00D75B36"/>
    <w:tbl>
      <w:tblPr>
        <w:tblW w:w="0" w:type="auto"/>
        <w:tblInd w:w="-70" w:type="dxa"/>
        <w:tblBorders>
          <w:top w:val="single" w:sz="8" w:space="0" w:color="00000A"/>
          <w:left w:val="single" w:sz="8" w:space="0" w:color="00000A"/>
          <w:bottom w:val="single" w:sz="8" w:space="0" w:color="00000A"/>
        </w:tblBorders>
        <w:tblCellMar>
          <w:left w:w="10" w:type="dxa"/>
          <w:right w:w="10" w:type="dxa"/>
        </w:tblCellMar>
        <w:tblLook w:val="0000" w:firstRow="0" w:lastRow="0" w:firstColumn="0" w:lastColumn="0" w:noHBand="0" w:noVBand="0"/>
      </w:tblPr>
      <w:tblGrid>
        <w:gridCol w:w="6226"/>
        <w:gridCol w:w="1417"/>
        <w:gridCol w:w="1419"/>
      </w:tblGrid>
      <w:tr w:rsidR="00D75B36">
        <w:tblPrEx>
          <w:tblCellMar>
            <w:top w:w="0" w:type="dxa"/>
            <w:bottom w:w="0" w:type="dxa"/>
          </w:tblCellMar>
        </w:tblPrEx>
        <w:trPr>
          <w:trHeight w:val="315"/>
        </w:trPr>
        <w:tc>
          <w:tcPr>
            <w:tcW w:w="6226" w:type="dxa"/>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center"/>
              <w:textAlignment w:val="auto"/>
            </w:pPr>
            <w:r>
              <w:rPr>
                <w:rFonts w:ascii="Calibri" w:eastAsia="Times New Roman" w:hAnsi="Calibri" w:cs="Times New Roman"/>
                <w:b/>
                <w:bCs/>
                <w:sz w:val="22"/>
                <w:szCs w:val="22"/>
                <w:lang w:eastAsia="nl-NL" w:bidi="ar-SA"/>
              </w:rPr>
              <w:t>Activa</w:t>
            </w:r>
          </w:p>
        </w:tc>
        <w:tc>
          <w:tcPr>
            <w:tcW w:w="1417"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center"/>
              <w:textAlignment w:val="auto"/>
            </w:pPr>
            <w:r>
              <w:rPr>
                <w:rFonts w:ascii="Calibri" w:eastAsia="Times New Roman" w:hAnsi="Calibri" w:cs="Times New Roman"/>
                <w:b/>
                <w:bCs/>
                <w:sz w:val="22"/>
                <w:szCs w:val="22"/>
                <w:lang w:eastAsia="nl-NL" w:bidi="ar-SA"/>
              </w:rPr>
              <w:t>1-1-2014</w:t>
            </w:r>
          </w:p>
        </w:tc>
        <w:tc>
          <w:tcPr>
            <w:tcW w:w="1419"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center"/>
              <w:textAlignment w:val="auto"/>
            </w:pPr>
            <w:r>
              <w:rPr>
                <w:rFonts w:ascii="Calibri" w:eastAsia="Times New Roman" w:hAnsi="Calibri" w:cs="Times New Roman"/>
                <w:b/>
                <w:bCs/>
                <w:sz w:val="22"/>
                <w:szCs w:val="22"/>
                <w:lang w:eastAsia="nl-NL" w:bidi="ar-SA"/>
              </w:rPr>
              <w:t>31-12-2014</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1000: Betaalrekening</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€ 4.951,83</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€ 3.025,54</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1100: Spaarrekening</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€ 17.250,83</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€ 21.061,21</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1200: Kas</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€ 176,60</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€ 0,00</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1300: Nog te ontvangen (Debiteuren)</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€ 1.443,28</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€ 0,00</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 xml:space="preserve">1450: Vooruitbetaalde bedragen </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€ 4250,00</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€ 1802,01</w:t>
            </w:r>
          </w:p>
        </w:tc>
      </w:tr>
      <w:tr w:rsidR="00D75B36">
        <w:tblPrEx>
          <w:tblCellMar>
            <w:top w:w="0" w:type="dxa"/>
            <w:bottom w:w="0" w:type="dxa"/>
          </w:tblCellMar>
        </w:tblPrEx>
        <w:trPr>
          <w:trHeight w:val="315"/>
        </w:trPr>
        <w:tc>
          <w:tcPr>
            <w:tcW w:w="6226" w:type="dxa"/>
            <w:tcBorders>
              <w:left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1500: Inventaris</w:t>
            </w:r>
          </w:p>
        </w:tc>
        <w:tc>
          <w:tcPr>
            <w:tcW w:w="1417" w:type="dxa"/>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€ 450,00</w:t>
            </w:r>
          </w:p>
        </w:tc>
        <w:tc>
          <w:tcPr>
            <w:tcW w:w="1419"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€ 390,00</w:t>
            </w:r>
          </w:p>
        </w:tc>
      </w:tr>
      <w:tr w:rsidR="00D75B36">
        <w:tblPrEx>
          <w:tblCellMar>
            <w:top w:w="0" w:type="dxa"/>
            <w:bottom w:w="0" w:type="dxa"/>
          </w:tblCellMar>
        </w:tblPrEx>
        <w:trPr>
          <w:trHeight w:val="315"/>
        </w:trPr>
        <w:tc>
          <w:tcPr>
            <w:tcW w:w="6226" w:type="dxa"/>
            <w:tcBorders>
              <w:left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b/>
                <w:bCs/>
                <w:sz w:val="22"/>
                <w:szCs w:val="22"/>
                <w:lang w:eastAsia="nl-NL" w:bidi="ar-SA"/>
              </w:rPr>
              <w:t>Totaal</w:t>
            </w:r>
          </w:p>
        </w:tc>
        <w:tc>
          <w:tcPr>
            <w:tcW w:w="1417"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b/>
                <w:bCs/>
                <w:color w:val="000000"/>
                <w:sz w:val="22"/>
                <w:szCs w:val="22"/>
                <w:lang w:eastAsia="nl-NL" w:bidi="ar-SA"/>
              </w:rPr>
              <w:t>€ 28.522,54</w:t>
            </w:r>
          </w:p>
        </w:tc>
        <w:tc>
          <w:tcPr>
            <w:tcW w:w="1419"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b/>
                <w:bCs/>
                <w:color w:val="000000"/>
                <w:sz w:val="22"/>
                <w:szCs w:val="22"/>
                <w:lang w:eastAsia="nl-NL" w:bidi="ar-SA"/>
              </w:rPr>
              <w:t>€ 26.278,76</w:t>
            </w:r>
          </w:p>
        </w:tc>
      </w:tr>
    </w:tbl>
    <w:p w:rsidR="00D75B36" w:rsidRDefault="00D75B36"/>
    <w:tbl>
      <w:tblPr>
        <w:tblW w:w="0" w:type="auto"/>
        <w:tblInd w:w="-70" w:type="dxa"/>
        <w:tblBorders>
          <w:top w:val="single" w:sz="8" w:space="0" w:color="00000A"/>
          <w:left w:val="single" w:sz="8" w:space="0" w:color="00000A"/>
          <w:bottom w:val="single" w:sz="8" w:space="0" w:color="00000A"/>
        </w:tblBorders>
        <w:tblCellMar>
          <w:left w:w="10" w:type="dxa"/>
          <w:right w:w="10" w:type="dxa"/>
        </w:tblCellMar>
        <w:tblLook w:val="0000" w:firstRow="0" w:lastRow="0" w:firstColumn="0" w:lastColumn="0" w:noHBand="0" w:noVBand="0"/>
      </w:tblPr>
      <w:tblGrid>
        <w:gridCol w:w="6226"/>
        <w:gridCol w:w="1417"/>
        <w:gridCol w:w="1419"/>
      </w:tblGrid>
      <w:tr w:rsidR="00D75B36">
        <w:tblPrEx>
          <w:tblCellMar>
            <w:top w:w="0" w:type="dxa"/>
            <w:bottom w:w="0" w:type="dxa"/>
          </w:tblCellMar>
        </w:tblPrEx>
        <w:trPr>
          <w:trHeight w:val="315"/>
        </w:trPr>
        <w:tc>
          <w:tcPr>
            <w:tcW w:w="6226" w:type="dxa"/>
            <w:tcBorders>
              <w:top w:val="single" w:sz="8" w:space="0" w:color="00000A"/>
              <w:left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center"/>
              <w:textAlignment w:val="auto"/>
            </w:pPr>
            <w:r>
              <w:rPr>
                <w:rFonts w:ascii="Calibri" w:eastAsia="Times New Roman" w:hAnsi="Calibri" w:cs="Times New Roman"/>
                <w:b/>
                <w:bCs/>
                <w:sz w:val="22"/>
                <w:szCs w:val="22"/>
                <w:lang w:eastAsia="nl-NL" w:bidi="ar-SA"/>
              </w:rPr>
              <w:t>Passiva</w:t>
            </w:r>
          </w:p>
        </w:tc>
        <w:tc>
          <w:tcPr>
            <w:tcW w:w="1417"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center"/>
              <w:textAlignment w:val="auto"/>
            </w:pPr>
            <w:r>
              <w:rPr>
                <w:rFonts w:ascii="Calibri" w:eastAsia="Times New Roman" w:hAnsi="Calibri" w:cs="Times New Roman"/>
                <w:b/>
                <w:bCs/>
                <w:sz w:val="22"/>
                <w:szCs w:val="22"/>
                <w:lang w:eastAsia="nl-NL" w:bidi="ar-SA"/>
              </w:rPr>
              <w:t>1-1-2014</w:t>
            </w:r>
          </w:p>
        </w:tc>
        <w:tc>
          <w:tcPr>
            <w:tcW w:w="1419"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center"/>
              <w:textAlignment w:val="auto"/>
            </w:pPr>
            <w:r>
              <w:rPr>
                <w:rFonts w:ascii="Calibri" w:eastAsia="Times New Roman" w:hAnsi="Calibri" w:cs="Times New Roman"/>
                <w:b/>
                <w:bCs/>
                <w:sz w:val="22"/>
                <w:szCs w:val="22"/>
                <w:lang w:eastAsia="nl-NL" w:bidi="ar-SA"/>
              </w:rPr>
              <w:t>31-12-2014</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Eigen Vermogen</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€ 0,00</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€ 0,00</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1400: Nog te betalen (Crediteuren)</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€ 545,35</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€ 2,95</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1410: Vooruit ontvangen</w:t>
            </w:r>
            <w:r>
              <w:rPr>
                <w:rFonts w:ascii="Calibri" w:eastAsia="Times New Roman" w:hAnsi="Calibri" w:cs="Times New Roman"/>
                <w:sz w:val="22"/>
                <w:szCs w:val="22"/>
                <w:lang w:eastAsia="nl-NL" w:bidi="ar-SA"/>
              </w:rPr>
              <w:t xml:space="preserve"> bedragen</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€ 13.423,00</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€ 10.482,00</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1417: Lustrum reservering</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€ 400,00</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€ 0,00</w:t>
            </w:r>
          </w:p>
        </w:tc>
      </w:tr>
      <w:tr w:rsidR="00D75B36">
        <w:tblPrEx>
          <w:tblCellMar>
            <w:top w:w="0" w:type="dxa"/>
            <w:bottom w:w="0" w:type="dxa"/>
          </w:tblCellMar>
        </w:tblPrEx>
        <w:trPr>
          <w:trHeight w:val="315"/>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1605: Risico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€ 9.000,00</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€ 9.000,00</w:t>
            </w:r>
          </w:p>
        </w:tc>
      </w:tr>
      <w:tr w:rsidR="00D75B36">
        <w:tblPrEx>
          <w:tblCellMar>
            <w:top w:w="0" w:type="dxa"/>
            <w:bottom w:w="0" w:type="dxa"/>
          </w:tblCellMar>
        </w:tblPrEx>
        <w:trPr>
          <w:trHeight w:val="315"/>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 xml:space="preserve">1610: </w:t>
            </w:r>
            <w:proofErr w:type="spellStart"/>
            <w:r>
              <w:rPr>
                <w:rFonts w:ascii="Calibri" w:eastAsia="Times New Roman" w:hAnsi="Calibri" w:cs="Times New Roman"/>
                <w:sz w:val="22"/>
                <w:szCs w:val="22"/>
                <w:lang w:eastAsia="nl-NL" w:bidi="ar-SA"/>
              </w:rPr>
              <w:t>Elerion</w:t>
            </w:r>
            <w:proofErr w:type="spellEnd"/>
            <w:r>
              <w:rPr>
                <w:rFonts w:ascii="Calibri" w:eastAsia="Times New Roman" w:hAnsi="Calibri" w:cs="Times New Roman"/>
                <w:sz w:val="22"/>
                <w:szCs w:val="22"/>
                <w:lang w:eastAsia="nl-NL" w:bidi="ar-SA"/>
              </w:rPr>
              <w:t xml:space="preserve">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€ 1.452,63</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€ 2.490,10</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1615: Wolfhagen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€ 11,32</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€ 22,87</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1630: Bron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€ 3.171,76</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€ 801,59</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 xml:space="preserve">1640: </w:t>
            </w:r>
            <w:proofErr w:type="spellStart"/>
            <w:r>
              <w:rPr>
                <w:rFonts w:ascii="Calibri" w:eastAsia="Times New Roman" w:hAnsi="Calibri" w:cs="Times New Roman"/>
                <w:sz w:val="22"/>
                <w:szCs w:val="22"/>
                <w:lang w:eastAsia="nl-NL" w:bidi="ar-SA"/>
              </w:rPr>
              <w:t>Lamorak</w:t>
            </w:r>
            <w:proofErr w:type="spellEnd"/>
            <w:r>
              <w:rPr>
                <w:rFonts w:ascii="Calibri" w:eastAsia="Times New Roman" w:hAnsi="Calibri" w:cs="Times New Roman"/>
                <w:sz w:val="22"/>
                <w:szCs w:val="22"/>
                <w:lang w:eastAsia="nl-NL" w:bidi="ar-SA"/>
              </w:rPr>
              <w:t xml:space="preserve">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€ 737,56</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€ 0,00</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1660: Herberg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FF0000"/>
                <w:sz w:val="22"/>
                <w:szCs w:val="22"/>
                <w:lang w:eastAsia="nl-NL" w:bidi="ar-SA"/>
              </w:rPr>
              <w:t>€ 131,71-</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€ 1.168,73</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1670: Horror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€ 621,79</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€ 621,79</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1680: Workshop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FF0000"/>
                <w:sz w:val="22"/>
                <w:szCs w:val="22"/>
                <w:lang w:eastAsia="nl-NL" w:bidi="ar-SA"/>
              </w:rPr>
              <w:t>€ 23,60-</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€ 0,00</w:t>
            </w:r>
          </w:p>
        </w:tc>
      </w:tr>
      <w:tr w:rsidR="00D75B36">
        <w:tblPrEx>
          <w:tblCellMar>
            <w:top w:w="0" w:type="dxa"/>
            <w:bottom w:w="0" w:type="dxa"/>
          </w:tblCellMar>
        </w:tblPrEx>
        <w:trPr>
          <w:trHeight w:val="300"/>
        </w:trPr>
        <w:tc>
          <w:tcPr>
            <w:tcW w:w="6226" w:type="dxa"/>
            <w:tcBorders>
              <w:lef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1690: Vereniging reserve</w:t>
            </w:r>
          </w:p>
        </w:tc>
        <w:tc>
          <w:tcPr>
            <w:tcW w:w="1417" w:type="dxa"/>
            <w:tcBorders>
              <w:left w:val="single" w:sz="4"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FF0000"/>
                <w:sz w:val="22"/>
                <w:szCs w:val="22"/>
                <w:lang w:eastAsia="nl-NL" w:bidi="ar-SA"/>
              </w:rPr>
              <w:t>€ 685,56-</w:t>
            </w:r>
          </w:p>
        </w:tc>
        <w:tc>
          <w:tcPr>
            <w:tcW w:w="1419" w:type="dxa"/>
            <w:tcBorders>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€ 1.471,23</w:t>
            </w:r>
          </w:p>
        </w:tc>
      </w:tr>
      <w:tr w:rsidR="00D75B36">
        <w:tblPrEx>
          <w:tblCellMar>
            <w:top w:w="0" w:type="dxa"/>
            <w:bottom w:w="0" w:type="dxa"/>
          </w:tblCellMar>
        </w:tblPrEx>
        <w:trPr>
          <w:trHeight w:val="315"/>
        </w:trPr>
        <w:tc>
          <w:tcPr>
            <w:tcW w:w="6226" w:type="dxa"/>
            <w:tcBorders>
              <w:left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sz w:val="22"/>
                <w:szCs w:val="22"/>
                <w:lang w:eastAsia="nl-NL" w:bidi="ar-SA"/>
              </w:rPr>
              <w:t>1691: SFX reserve</w:t>
            </w:r>
          </w:p>
        </w:tc>
        <w:tc>
          <w:tcPr>
            <w:tcW w:w="1417" w:type="dxa"/>
            <w:tcBorders>
              <w:left w:val="single" w:sz="4"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sz w:val="22"/>
                <w:szCs w:val="22"/>
                <w:lang w:eastAsia="nl-NL" w:bidi="ar-SA"/>
              </w:rPr>
              <w:t>€ 0,00</w:t>
            </w:r>
          </w:p>
        </w:tc>
        <w:tc>
          <w:tcPr>
            <w:tcW w:w="1419"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color w:val="000000"/>
                <w:sz w:val="22"/>
                <w:szCs w:val="22"/>
                <w:lang w:eastAsia="nl-NL" w:bidi="ar-SA"/>
              </w:rPr>
              <w:t>€ 217,50</w:t>
            </w:r>
          </w:p>
        </w:tc>
      </w:tr>
      <w:tr w:rsidR="00D75B36">
        <w:tblPrEx>
          <w:tblCellMar>
            <w:top w:w="0" w:type="dxa"/>
            <w:bottom w:w="0" w:type="dxa"/>
          </w:tblCellMar>
        </w:tblPrEx>
        <w:trPr>
          <w:trHeight w:val="315"/>
        </w:trPr>
        <w:tc>
          <w:tcPr>
            <w:tcW w:w="6226" w:type="dxa"/>
            <w:tcBorders>
              <w:left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textAlignment w:val="auto"/>
            </w:pPr>
            <w:r>
              <w:rPr>
                <w:rFonts w:ascii="Calibri" w:eastAsia="Times New Roman" w:hAnsi="Calibri" w:cs="Times New Roman"/>
                <w:b/>
                <w:bCs/>
                <w:sz w:val="22"/>
                <w:szCs w:val="22"/>
                <w:lang w:eastAsia="nl-NL" w:bidi="ar-SA"/>
              </w:rPr>
              <w:t>Totaal</w:t>
            </w:r>
          </w:p>
        </w:tc>
        <w:tc>
          <w:tcPr>
            <w:tcW w:w="1417"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b/>
                <w:bCs/>
                <w:sz w:val="22"/>
                <w:szCs w:val="22"/>
                <w:lang w:eastAsia="nl-NL" w:bidi="ar-SA"/>
              </w:rPr>
              <w:t xml:space="preserve">€ </w:t>
            </w:r>
            <w:r>
              <w:rPr>
                <w:rFonts w:ascii="Calibri" w:eastAsia="Times New Roman" w:hAnsi="Calibri" w:cs="Times New Roman"/>
                <w:b/>
                <w:bCs/>
                <w:sz w:val="22"/>
                <w:szCs w:val="22"/>
                <w:lang w:eastAsia="nl-NL" w:bidi="ar-SA"/>
              </w:rPr>
              <w:t>28.522,54</w:t>
            </w:r>
          </w:p>
        </w:tc>
        <w:tc>
          <w:tcPr>
            <w:tcW w:w="1419"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D75B36" w:rsidRDefault="00C9188B">
            <w:pPr>
              <w:suppressAutoHyphens w:val="0"/>
              <w:jc w:val="right"/>
              <w:textAlignment w:val="auto"/>
            </w:pPr>
            <w:r>
              <w:rPr>
                <w:rFonts w:ascii="Calibri" w:eastAsia="Times New Roman" w:hAnsi="Calibri" w:cs="Times New Roman"/>
                <w:b/>
                <w:bCs/>
                <w:color w:val="000000"/>
                <w:sz w:val="22"/>
                <w:szCs w:val="22"/>
                <w:lang w:eastAsia="nl-NL" w:bidi="ar-SA"/>
              </w:rPr>
              <w:t>€ 26.278,76</w:t>
            </w:r>
          </w:p>
        </w:tc>
      </w:tr>
    </w:tbl>
    <w:p w:rsidR="00D75B36" w:rsidRDefault="00D75B36"/>
    <w:p w:rsidR="00D75B36" w:rsidRDefault="00D75B36">
      <w:bookmarkStart w:id="0" w:name="_GoBack"/>
      <w:bookmarkEnd w:id="0"/>
    </w:p>
    <w:p w:rsidR="00D75B36" w:rsidRDefault="00D75B36"/>
    <w:sectPr w:rsidR="00D75B3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6"/>
    <w:rsid w:val="00C9188B"/>
    <w:rsid w:val="00D75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21BFE-0A74-4305-B4A4-137F490D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textAlignment w:val="baseline"/>
    </w:pPr>
    <w:rPr>
      <w:rFonts w:ascii="Times New Roman" w:eastAsia="Andale Sans UI" w:hAnsi="Times New Roman" w:cs="Tahoma"/>
      <w:sz w:val="24"/>
      <w:szCs w:val="24"/>
      <w:lang w:eastAsia="en-US" w:bidi="en-US"/>
    </w:rPr>
  </w:style>
  <w:style w:type="paragraph" w:styleId="Kop1">
    <w:name w:val="heading 1"/>
    <w:basedOn w:val="Heading"/>
    <w:next w:val="Textbody"/>
    <w:pP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Pr>
      <w:color w:val="000080"/>
      <w:u w:val="single"/>
      <w:lang w:eastAsia="en-US" w:bidi="en-US"/>
    </w:rPr>
  </w:style>
  <w:style w:type="paragraph" w:customStyle="1" w:styleId="Heading">
    <w:name w:val="Heading"/>
    <w:basedOn w:val="Standaard"/>
    <w:next w:val="Textbody"/>
    <w:pPr>
      <w:keepNext/>
      <w:spacing w:before="240" w:after="120"/>
    </w:pPr>
    <w:rPr>
      <w:rFonts w:ascii="Arial" w:eastAsia="Microsoft YaHei" w:hAnsi="Arial" w:cs="Mangal"/>
      <w:sz w:val="28"/>
      <w:szCs w:val="28"/>
    </w:rPr>
  </w:style>
  <w:style w:type="paragraph" w:customStyle="1" w:styleId="Textbody">
    <w:name w:val="Text body"/>
    <w:basedOn w:val="Standaard"/>
    <w:pPr>
      <w:spacing w:after="120"/>
    </w:pPr>
  </w:style>
  <w:style w:type="paragraph" w:styleId="Lijst">
    <w:name w:val="List"/>
    <w:basedOn w:val="Textbody"/>
    <w:rPr>
      <w:rFonts w:cs="Mangal"/>
    </w:rPr>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Moniek Pillen</dc:creator>
  <cp:lastModifiedBy>Moniek Pillen</cp:lastModifiedBy>
  <cp:revision>2</cp:revision>
  <dcterms:created xsi:type="dcterms:W3CDTF">2015-01-06T10:03:00Z</dcterms:created>
  <dcterms:modified xsi:type="dcterms:W3CDTF">2015-01-06T10:03:00Z</dcterms:modified>
</cp:coreProperties>
</file>